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39D9" w14:paraId="15DC7570" w14:textId="77777777" w:rsidTr="00B439D9">
        <w:trPr>
          <w:tblCellSpacing w:w="0" w:type="dxa"/>
          <w:jc w:val="center"/>
        </w:trPr>
        <w:tc>
          <w:tcPr>
            <w:tcW w:w="5000" w:type="pct"/>
            <w:hideMark/>
          </w:tcPr>
          <w:p w14:paraId="4871C83C" w14:textId="77777777" w:rsidR="00B439D9" w:rsidRDefault="00B439D9">
            <w:pPr>
              <w:spacing w:line="150" w:lineRule="atLeast"/>
              <w:jc w:val="center"/>
              <w:rPr>
                <w:rFonts w:eastAsia="Times New Roman"/>
              </w:rPr>
            </w:pPr>
            <w:r>
              <w:rPr>
                <w:rFonts w:ascii="Arial" w:eastAsia="Times New Roman" w:hAnsi="Arial" w:cs="Arial"/>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39D9" w14:paraId="14B42EFC" w14:textId="77777777">
              <w:trPr>
                <w:tblCellSpacing w:w="0" w:type="dxa"/>
                <w:jc w:val="center"/>
              </w:trPr>
              <w:tc>
                <w:tcPr>
                  <w:tcW w:w="0" w:type="auto"/>
                  <w:tcMar>
                    <w:top w:w="150" w:type="dxa"/>
                    <w:left w:w="0" w:type="dxa"/>
                    <w:bottom w:w="150" w:type="dxa"/>
                    <w:right w:w="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3750"/>
                  </w:tblGrid>
                  <w:tr w:rsidR="00B439D9" w14:paraId="4B9A4F43" w14:textId="77777777">
                    <w:trPr>
                      <w:tblCellSpacing w:w="0" w:type="dxa"/>
                      <w:jc w:val="center"/>
                    </w:trPr>
                    <w:tc>
                      <w:tcPr>
                        <w:tcW w:w="0" w:type="auto"/>
                        <w:vAlign w:val="center"/>
                        <w:hideMark/>
                      </w:tcPr>
                      <w:p w14:paraId="501B8A6D" w14:textId="770FDF57" w:rsidR="00B439D9" w:rsidRDefault="00B439D9">
                        <w:pPr>
                          <w:jc w:val="center"/>
                          <w:rPr>
                            <w:rFonts w:ascii="Times New Roman" w:eastAsia="Times New Roman" w:hAnsi="Times New Roman" w:cs="Times New Roman"/>
                            <w:color w:val="403F42"/>
                            <w:sz w:val="21"/>
                            <w:szCs w:val="21"/>
                          </w:rPr>
                        </w:pPr>
                        <w:r>
                          <w:rPr>
                            <w:rFonts w:ascii="Times New Roman" w:eastAsia="Times New Roman" w:hAnsi="Times New Roman" w:cs="Times New Roman"/>
                            <w:noProof/>
                            <w:color w:val="403F42"/>
                            <w:sz w:val="21"/>
                            <w:szCs w:val="21"/>
                          </w:rPr>
                          <w:drawing>
                            <wp:inline distT="0" distB="0" distL="0" distR="0" wp14:anchorId="26A81795" wp14:editId="52ECE8E0">
                              <wp:extent cx="2381250" cy="571500"/>
                              <wp:effectExtent l="0" t="0" r="0" b="0"/>
                              <wp:docPr id="2064310925" name="Picture 2" descr="A blue and red text with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310925" name="Picture 2" descr="A blue and red text with a number&#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571500"/>
                                      </a:xfrm>
                                      <a:prstGeom prst="rect">
                                        <a:avLst/>
                                      </a:prstGeom>
                                      <a:noFill/>
                                      <a:ln>
                                        <a:noFill/>
                                      </a:ln>
                                    </pic:spPr>
                                  </pic:pic>
                                </a:graphicData>
                              </a:graphic>
                            </wp:inline>
                          </w:drawing>
                        </w:r>
                      </w:p>
                    </w:tc>
                  </w:tr>
                </w:tbl>
                <w:p w14:paraId="79DFAB1B" w14:textId="77777777" w:rsidR="00B439D9" w:rsidRDefault="00B439D9">
                  <w:pPr>
                    <w:jc w:val="center"/>
                    <w:rPr>
                      <w:rFonts w:ascii="Times New Roman" w:eastAsia="Times New Roman" w:hAnsi="Times New Roman" w:cs="Times New Roman"/>
                      <w:sz w:val="20"/>
                      <w:szCs w:val="20"/>
                    </w:rPr>
                  </w:pPr>
                </w:p>
              </w:tc>
            </w:tr>
          </w:tbl>
          <w:p w14:paraId="5F7B3CE8" w14:textId="1C2C7B2B" w:rsidR="00B439D9" w:rsidRDefault="00B439D9">
            <w:pPr>
              <w:spacing w:line="150" w:lineRule="atLeast"/>
              <w:jc w:val="center"/>
              <w:rPr>
                <w:rFonts w:eastAsia="Times New Roman"/>
              </w:rPr>
            </w:pPr>
          </w:p>
        </w:tc>
      </w:tr>
    </w:tbl>
    <w:p w14:paraId="45920568" w14:textId="77777777" w:rsidR="00B439D9" w:rsidRDefault="00B439D9" w:rsidP="00B439D9">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39D9" w14:paraId="3354C5C9" w14:textId="77777777" w:rsidTr="00B439D9">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39D9" w14:paraId="1002B886" w14:textId="77777777">
              <w:trPr>
                <w:tblCellSpacing w:w="0" w:type="dxa"/>
                <w:jc w:val="center"/>
              </w:trPr>
              <w:tc>
                <w:tcPr>
                  <w:tcW w:w="0" w:type="auto"/>
                  <w:tcMar>
                    <w:top w:w="150" w:type="dxa"/>
                    <w:left w:w="300" w:type="dxa"/>
                    <w:bottom w:w="150" w:type="dxa"/>
                    <w:right w:w="300" w:type="dxa"/>
                  </w:tcMar>
                </w:tcPr>
                <w:p w14:paraId="0DE637B5" w14:textId="77777777" w:rsidR="00B439D9" w:rsidRDefault="00B439D9">
                  <w:pPr>
                    <w:pStyle w:val="NormalWeb"/>
                    <w:jc w:val="center"/>
                    <w:rPr>
                      <w:rFonts w:ascii="Times New Roman" w:hAnsi="Times New Roman" w:cs="Times New Roman"/>
                      <w:color w:val="403F42"/>
                      <w:sz w:val="21"/>
                      <w:szCs w:val="21"/>
                    </w:rPr>
                  </w:pPr>
                  <w:r>
                    <w:rPr>
                      <w:rFonts w:ascii="Arial" w:hAnsi="Arial" w:cs="Arial"/>
                      <w:b/>
                      <w:bCs/>
                      <w:color w:val="DC1111"/>
                    </w:rPr>
                    <w:t>Active Assailant Liability Coverage</w:t>
                  </w:r>
                </w:p>
                <w:p w14:paraId="53F3D4D3" w14:textId="77777777" w:rsidR="00B439D9" w:rsidRDefault="00B439D9">
                  <w:pPr>
                    <w:pStyle w:val="NormalWeb"/>
                    <w:rPr>
                      <w:rFonts w:ascii="Times New Roman" w:hAnsi="Times New Roman" w:cs="Times New Roman"/>
                      <w:color w:val="403F42"/>
                      <w:sz w:val="21"/>
                      <w:szCs w:val="21"/>
                    </w:rPr>
                  </w:pPr>
                </w:p>
                <w:p w14:paraId="4C3873B9" w14:textId="77777777" w:rsidR="00B439D9" w:rsidRDefault="00B439D9">
                  <w:pPr>
                    <w:pStyle w:val="NormalWeb"/>
                    <w:rPr>
                      <w:rFonts w:ascii="Times New Roman" w:hAnsi="Times New Roman" w:cs="Times New Roman"/>
                      <w:color w:val="403F42"/>
                      <w:sz w:val="21"/>
                      <w:szCs w:val="21"/>
                    </w:rPr>
                  </w:pPr>
                  <w:r>
                    <w:rPr>
                      <w:rFonts w:ascii="Arial" w:hAnsi="Arial" w:cs="Arial"/>
                      <w:color w:val="000000"/>
                      <w:sz w:val="21"/>
                      <w:szCs w:val="21"/>
                    </w:rPr>
                    <w:t>Malicious attacks by armed assailants are on the rise across our country. These attacks put lives at risk and expose your commercial clients' businesses to potential catastrophic losses for incidents on their premises.</w:t>
                  </w:r>
                </w:p>
                <w:p w14:paraId="2CBC6E94" w14:textId="77777777" w:rsidR="00B439D9" w:rsidRDefault="00B439D9">
                  <w:pPr>
                    <w:pStyle w:val="NormalWeb"/>
                    <w:rPr>
                      <w:rFonts w:ascii="Times New Roman" w:hAnsi="Times New Roman" w:cs="Times New Roman"/>
                      <w:color w:val="403F42"/>
                      <w:sz w:val="21"/>
                      <w:szCs w:val="21"/>
                    </w:rPr>
                  </w:pPr>
                </w:p>
                <w:p w14:paraId="53EAEC98" w14:textId="77777777" w:rsidR="00B439D9" w:rsidRDefault="00B439D9">
                  <w:pPr>
                    <w:pStyle w:val="NormalWeb"/>
                    <w:rPr>
                      <w:rFonts w:ascii="Times New Roman" w:hAnsi="Times New Roman" w:cs="Times New Roman"/>
                      <w:color w:val="403F42"/>
                      <w:sz w:val="21"/>
                      <w:szCs w:val="21"/>
                    </w:rPr>
                  </w:pPr>
                  <w:r>
                    <w:rPr>
                      <w:rFonts w:ascii="Arial" w:hAnsi="Arial" w:cs="Arial"/>
                      <w:color w:val="000000"/>
                      <w:sz w:val="21"/>
                      <w:szCs w:val="21"/>
                    </w:rPr>
                    <w:t>Our Active Assailant Liability Coverage helps your insureds prepare for and manage the risk of being a victim of malicious attacks. Whatever the motives of the attacks, this coverage helps mitigate risks of physical, financial and reputational damage to your policyholder.</w:t>
                  </w:r>
                </w:p>
                <w:p w14:paraId="76837256" w14:textId="77777777" w:rsidR="00B439D9" w:rsidRDefault="00B439D9">
                  <w:pPr>
                    <w:pStyle w:val="NormalWeb"/>
                    <w:rPr>
                      <w:rFonts w:ascii="Times New Roman" w:hAnsi="Times New Roman" w:cs="Times New Roman"/>
                      <w:color w:val="403F42"/>
                      <w:sz w:val="21"/>
                      <w:szCs w:val="21"/>
                    </w:rPr>
                  </w:pPr>
                </w:p>
                <w:p w14:paraId="2BC63565" w14:textId="77777777" w:rsidR="00B439D9" w:rsidRDefault="00B439D9">
                  <w:pPr>
                    <w:pStyle w:val="NormalWeb"/>
                    <w:rPr>
                      <w:rFonts w:ascii="Times New Roman" w:hAnsi="Times New Roman" w:cs="Times New Roman"/>
                      <w:color w:val="403F42"/>
                      <w:sz w:val="21"/>
                      <w:szCs w:val="21"/>
                    </w:rPr>
                  </w:pPr>
                  <w:r>
                    <w:rPr>
                      <w:rFonts w:ascii="Arial" w:hAnsi="Arial" w:cs="Arial"/>
                      <w:b/>
                      <w:bCs/>
                      <w:color w:val="DC1111"/>
                      <w:sz w:val="21"/>
                      <w:szCs w:val="21"/>
                    </w:rPr>
                    <w:t xml:space="preserve">Active Assailant Liability Coverage provides coverage at the Insured location and within a </w:t>
                  </w:r>
                  <w:proofErr w:type="gramStart"/>
                  <w:r>
                    <w:rPr>
                      <w:rFonts w:ascii="Arial" w:hAnsi="Arial" w:cs="Arial"/>
                      <w:b/>
                      <w:bCs/>
                      <w:color w:val="DC1111"/>
                      <w:sz w:val="21"/>
                      <w:szCs w:val="21"/>
                    </w:rPr>
                    <w:t>5 mile</w:t>
                  </w:r>
                  <w:proofErr w:type="gramEnd"/>
                  <w:r>
                    <w:rPr>
                      <w:rFonts w:ascii="Arial" w:hAnsi="Arial" w:cs="Arial"/>
                      <w:b/>
                      <w:bCs/>
                      <w:color w:val="DC1111"/>
                      <w:sz w:val="21"/>
                      <w:szCs w:val="21"/>
                    </w:rPr>
                    <w:t xml:space="preserve"> radius for:</w:t>
                  </w:r>
                </w:p>
                <w:p w14:paraId="6DFB29BF" w14:textId="77777777" w:rsidR="00B439D9" w:rsidRDefault="00B439D9">
                  <w:pPr>
                    <w:pStyle w:val="NormalWeb"/>
                    <w:rPr>
                      <w:rFonts w:ascii="Times New Roman" w:hAnsi="Times New Roman" w:cs="Times New Roman"/>
                      <w:color w:val="403F42"/>
                      <w:sz w:val="21"/>
                      <w:szCs w:val="21"/>
                    </w:rPr>
                  </w:pPr>
                </w:p>
                <w:p w14:paraId="577D7E38" w14:textId="77777777" w:rsidR="00B439D9" w:rsidRDefault="00B439D9" w:rsidP="00613570">
                  <w:pPr>
                    <w:numPr>
                      <w:ilvl w:val="0"/>
                      <w:numId w:val="1"/>
                    </w:numPr>
                    <w:ind w:hanging="240"/>
                    <w:rPr>
                      <w:rFonts w:ascii="Times New Roman" w:eastAsia="Times New Roman" w:hAnsi="Times New Roman" w:cs="Times New Roman"/>
                      <w:color w:val="000000"/>
                      <w:sz w:val="21"/>
                      <w:szCs w:val="21"/>
                    </w:rPr>
                  </w:pPr>
                  <w:r>
                    <w:rPr>
                      <w:rFonts w:ascii="Arial" w:eastAsia="Times New Roman" w:hAnsi="Arial" w:cs="Arial"/>
                      <w:color w:val="000000"/>
                      <w:sz w:val="21"/>
                      <w:szCs w:val="21"/>
                    </w:rPr>
                    <w:t>Crisis Management Expenses</w:t>
                  </w:r>
                </w:p>
                <w:p w14:paraId="046011AC" w14:textId="77777777" w:rsidR="00B439D9" w:rsidRDefault="00B439D9" w:rsidP="00613570">
                  <w:pPr>
                    <w:numPr>
                      <w:ilvl w:val="0"/>
                      <w:numId w:val="1"/>
                    </w:numPr>
                    <w:ind w:hanging="240"/>
                    <w:rPr>
                      <w:rFonts w:ascii="Times New Roman" w:eastAsia="Times New Roman" w:hAnsi="Times New Roman" w:cs="Times New Roman"/>
                      <w:color w:val="000000"/>
                      <w:sz w:val="21"/>
                      <w:szCs w:val="21"/>
                    </w:rPr>
                  </w:pPr>
                  <w:r>
                    <w:rPr>
                      <w:rFonts w:ascii="Arial" w:eastAsia="Times New Roman" w:hAnsi="Arial" w:cs="Arial"/>
                      <w:color w:val="000000"/>
                      <w:sz w:val="21"/>
                      <w:szCs w:val="21"/>
                    </w:rPr>
                    <w:t>Business Interruption</w:t>
                  </w:r>
                </w:p>
                <w:p w14:paraId="7492B977" w14:textId="77777777" w:rsidR="00B439D9" w:rsidRDefault="00B439D9" w:rsidP="00613570">
                  <w:pPr>
                    <w:numPr>
                      <w:ilvl w:val="0"/>
                      <w:numId w:val="1"/>
                    </w:numPr>
                    <w:ind w:hanging="240"/>
                    <w:rPr>
                      <w:rFonts w:ascii="Times New Roman" w:eastAsia="Times New Roman" w:hAnsi="Times New Roman" w:cs="Times New Roman"/>
                      <w:color w:val="000000"/>
                      <w:sz w:val="21"/>
                      <w:szCs w:val="21"/>
                    </w:rPr>
                  </w:pPr>
                  <w:r>
                    <w:rPr>
                      <w:rFonts w:ascii="Arial" w:eastAsia="Times New Roman" w:hAnsi="Arial" w:cs="Arial"/>
                      <w:color w:val="000000"/>
                      <w:sz w:val="21"/>
                      <w:szCs w:val="21"/>
                    </w:rPr>
                    <w:t>Legal Liability (Optional)</w:t>
                  </w:r>
                </w:p>
                <w:p w14:paraId="3BE1FD19" w14:textId="77777777" w:rsidR="00B439D9" w:rsidRDefault="00B439D9" w:rsidP="00613570">
                  <w:pPr>
                    <w:numPr>
                      <w:ilvl w:val="0"/>
                      <w:numId w:val="1"/>
                    </w:numPr>
                    <w:ind w:hanging="240"/>
                    <w:rPr>
                      <w:rFonts w:ascii="Times New Roman" w:eastAsia="Times New Roman" w:hAnsi="Times New Roman" w:cs="Times New Roman"/>
                      <w:color w:val="000000"/>
                      <w:sz w:val="21"/>
                      <w:szCs w:val="21"/>
                    </w:rPr>
                  </w:pPr>
                  <w:r>
                    <w:rPr>
                      <w:rFonts w:ascii="Arial" w:eastAsia="Times New Roman" w:hAnsi="Arial" w:cs="Arial"/>
                      <w:color w:val="000000"/>
                      <w:sz w:val="21"/>
                      <w:szCs w:val="21"/>
                    </w:rPr>
                    <w:t>Property and Contents Damage</w:t>
                  </w:r>
                </w:p>
                <w:p w14:paraId="67B76D17" w14:textId="77777777" w:rsidR="00B439D9" w:rsidRDefault="00B439D9" w:rsidP="00613570">
                  <w:pPr>
                    <w:numPr>
                      <w:ilvl w:val="0"/>
                      <w:numId w:val="1"/>
                    </w:numPr>
                    <w:ind w:hanging="240"/>
                    <w:rPr>
                      <w:rFonts w:ascii="Times New Roman" w:eastAsia="Times New Roman" w:hAnsi="Times New Roman" w:cs="Times New Roman"/>
                      <w:color w:val="000000"/>
                      <w:sz w:val="21"/>
                      <w:szCs w:val="21"/>
                    </w:rPr>
                  </w:pPr>
                  <w:r>
                    <w:rPr>
                      <w:rFonts w:ascii="Arial" w:eastAsia="Times New Roman" w:hAnsi="Arial" w:cs="Arial"/>
                      <w:color w:val="000000"/>
                      <w:sz w:val="21"/>
                      <w:szCs w:val="21"/>
                    </w:rPr>
                    <w:t>Threat Assessments</w:t>
                  </w:r>
                </w:p>
                <w:p w14:paraId="02E0F05D" w14:textId="77777777" w:rsidR="00B439D9" w:rsidRDefault="00B439D9" w:rsidP="00613570">
                  <w:pPr>
                    <w:numPr>
                      <w:ilvl w:val="0"/>
                      <w:numId w:val="1"/>
                    </w:numPr>
                    <w:ind w:hanging="240"/>
                    <w:rPr>
                      <w:rFonts w:ascii="Times New Roman" w:eastAsia="Times New Roman" w:hAnsi="Times New Roman" w:cs="Times New Roman"/>
                      <w:color w:val="000000"/>
                      <w:sz w:val="21"/>
                      <w:szCs w:val="21"/>
                    </w:rPr>
                  </w:pPr>
                  <w:r>
                    <w:rPr>
                      <w:rFonts w:ascii="Arial" w:eastAsia="Times New Roman" w:hAnsi="Arial" w:cs="Arial"/>
                      <w:color w:val="000000"/>
                      <w:sz w:val="21"/>
                      <w:szCs w:val="21"/>
                    </w:rPr>
                    <w:t>Increased Security Costs</w:t>
                  </w:r>
                </w:p>
                <w:p w14:paraId="0A71CD92" w14:textId="77777777" w:rsidR="00B439D9" w:rsidRDefault="00B439D9" w:rsidP="00613570">
                  <w:pPr>
                    <w:numPr>
                      <w:ilvl w:val="0"/>
                      <w:numId w:val="1"/>
                    </w:numPr>
                    <w:ind w:hanging="240"/>
                    <w:rPr>
                      <w:rFonts w:ascii="Times New Roman" w:eastAsia="Times New Roman" w:hAnsi="Times New Roman" w:cs="Times New Roman"/>
                      <w:color w:val="000000"/>
                      <w:sz w:val="21"/>
                      <w:szCs w:val="21"/>
                    </w:rPr>
                  </w:pPr>
                  <w:r>
                    <w:rPr>
                      <w:rFonts w:ascii="Arial" w:eastAsia="Times New Roman" w:hAnsi="Arial" w:cs="Arial"/>
                      <w:color w:val="000000"/>
                      <w:sz w:val="21"/>
                      <w:szCs w:val="21"/>
                    </w:rPr>
                    <w:t>Loss of Attraction</w:t>
                  </w:r>
                </w:p>
                <w:p w14:paraId="4AE80CD8" w14:textId="77777777" w:rsidR="00B439D9" w:rsidRDefault="00B439D9" w:rsidP="00613570">
                  <w:pPr>
                    <w:numPr>
                      <w:ilvl w:val="0"/>
                      <w:numId w:val="1"/>
                    </w:numPr>
                    <w:ind w:hanging="240"/>
                    <w:rPr>
                      <w:rFonts w:ascii="Times New Roman" w:eastAsia="Times New Roman" w:hAnsi="Times New Roman" w:cs="Times New Roman"/>
                      <w:color w:val="000000"/>
                      <w:sz w:val="21"/>
                      <w:szCs w:val="21"/>
                    </w:rPr>
                  </w:pPr>
                  <w:r>
                    <w:rPr>
                      <w:rFonts w:ascii="Arial" w:eastAsia="Times New Roman" w:hAnsi="Arial" w:cs="Arial"/>
                      <w:color w:val="000000"/>
                      <w:sz w:val="21"/>
                      <w:szCs w:val="21"/>
                    </w:rPr>
                    <w:t>Public Relations Costs</w:t>
                  </w:r>
                </w:p>
                <w:p w14:paraId="43418AC8" w14:textId="77777777" w:rsidR="00B439D9" w:rsidRDefault="00B439D9" w:rsidP="00613570">
                  <w:pPr>
                    <w:numPr>
                      <w:ilvl w:val="0"/>
                      <w:numId w:val="1"/>
                    </w:numPr>
                    <w:ind w:hanging="240"/>
                    <w:rPr>
                      <w:rFonts w:ascii="Times New Roman" w:eastAsia="Times New Roman" w:hAnsi="Times New Roman" w:cs="Times New Roman"/>
                      <w:color w:val="000000"/>
                      <w:sz w:val="21"/>
                      <w:szCs w:val="21"/>
                    </w:rPr>
                  </w:pPr>
                  <w:r>
                    <w:rPr>
                      <w:rFonts w:ascii="Arial" w:eastAsia="Times New Roman" w:hAnsi="Arial" w:cs="Arial"/>
                      <w:color w:val="000000"/>
                      <w:sz w:val="21"/>
                      <w:szCs w:val="21"/>
                    </w:rPr>
                    <w:t>Temporary Premises Costs</w:t>
                  </w:r>
                </w:p>
                <w:p w14:paraId="447600C9" w14:textId="77777777" w:rsidR="00B439D9" w:rsidRDefault="00B439D9" w:rsidP="00613570">
                  <w:pPr>
                    <w:numPr>
                      <w:ilvl w:val="0"/>
                      <w:numId w:val="1"/>
                    </w:numPr>
                    <w:ind w:hanging="240"/>
                    <w:rPr>
                      <w:rFonts w:ascii="Times New Roman" w:eastAsia="Times New Roman" w:hAnsi="Times New Roman" w:cs="Times New Roman"/>
                      <w:color w:val="000000"/>
                      <w:sz w:val="21"/>
                      <w:szCs w:val="21"/>
                    </w:rPr>
                  </w:pPr>
                  <w:r>
                    <w:rPr>
                      <w:rFonts w:ascii="Arial" w:eastAsia="Times New Roman" w:hAnsi="Arial" w:cs="Arial"/>
                      <w:color w:val="000000"/>
                      <w:sz w:val="21"/>
                      <w:szCs w:val="21"/>
                    </w:rPr>
                    <w:t>Expenses Arising from the Attack such as Medical/Psychiatric, Childcare costs.</w:t>
                  </w:r>
                </w:p>
                <w:p w14:paraId="7E08E898" w14:textId="77777777" w:rsidR="00B439D9" w:rsidRDefault="00B439D9">
                  <w:pPr>
                    <w:pStyle w:val="NormalWeb"/>
                    <w:rPr>
                      <w:rFonts w:ascii="Times New Roman" w:hAnsi="Times New Roman" w:cs="Times New Roman"/>
                      <w:color w:val="403F42"/>
                      <w:sz w:val="21"/>
                      <w:szCs w:val="21"/>
                    </w:rPr>
                  </w:pPr>
                </w:p>
                <w:p w14:paraId="36D01DA9" w14:textId="77777777" w:rsidR="00B439D9" w:rsidRDefault="00B439D9">
                  <w:pPr>
                    <w:pStyle w:val="NormalWeb"/>
                    <w:rPr>
                      <w:rFonts w:ascii="Times New Roman" w:hAnsi="Times New Roman" w:cs="Times New Roman"/>
                      <w:color w:val="403F42"/>
                      <w:sz w:val="21"/>
                      <w:szCs w:val="21"/>
                    </w:rPr>
                  </w:pPr>
                  <w:r>
                    <w:rPr>
                      <w:rFonts w:ascii="Arial" w:hAnsi="Arial" w:cs="Arial"/>
                      <w:b/>
                      <w:bCs/>
                      <w:color w:val="000000"/>
                      <w:sz w:val="21"/>
                      <w:szCs w:val="21"/>
                    </w:rPr>
                    <w:t>Benefits</w:t>
                  </w:r>
                </w:p>
                <w:p w14:paraId="690E9B68" w14:textId="77777777" w:rsidR="00B439D9" w:rsidRDefault="00B439D9">
                  <w:pPr>
                    <w:pStyle w:val="NormalWeb"/>
                    <w:rPr>
                      <w:rFonts w:ascii="Times New Roman" w:hAnsi="Times New Roman" w:cs="Times New Roman"/>
                      <w:color w:val="403F42"/>
                      <w:sz w:val="21"/>
                      <w:szCs w:val="21"/>
                    </w:rPr>
                  </w:pPr>
                </w:p>
                <w:p w14:paraId="706CDBC4" w14:textId="77777777" w:rsidR="00B439D9" w:rsidRDefault="00B439D9" w:rsidP="00613570">
                  <w:pPr>
                    <w:numPr>
                      <w:ilvl w:val="0"/>
                      <w:numId w:val="2"/>
                    </w:numPr>
                    <w:ind w:hanging="240"/>
                    <w:rPr>
                      <w:rFonts w:ascii="Times New Roman" w:eastAsia="Times New Roman" w:hAnsi="Times New Roman" w:cs="Times New Roman"/>
                      <w:color w:val="000000"/>
                      <w:sz w:val="21"/>
                      <w:szCs w:val="21"/>
                    </w:rPr>
                  </w:pPr>
                  <w:r>
                    <w:rPr>
                      <w:rFonts w:ascii="Arial" w:eastAsia="Times New Roman" w:hAnsi="Arial" w:cs="Arial"/>
                      <w:color w:val="000000"/>
                      <w:sz w:val="21"/>
                      <w:szCs w:val="21"/>
                    </w:rPr>
                    <w:t>Primary and non-contributory to other insurance policies, provides certainty and peace of mind should an attack occur.</w:t>
                  </w:r>
                </w:p>
                <w:p w14:paraId="1B37D921" w14:textId="77777777" w:rsidR="00B439D9" w:rsidRDefault="00B439D9" w:rsidP="00613570">
                  <w:pPr>
                    <w:numPr>
                      <w:ilvl w:val="0"/>
                      <w:numId w:val="2"/>
                    </w:numPr>
                    <w:ind w:hanging="240"/>
                    <w:rPr>
                      <w:rFonts w:ascii="Times New Roman" w:eastAsia="Times New Roman" w:hAnsi="Times New Roman" w:cs="Times New Roman"/>
                      <w:color w:val="000000"/>
                      <w:sz w:val="21"/>
                      <w:szCs w:val="21"/>
                    </w:rPr>
                  </w:pPr>
                  <w:r>
                    <w:rPr>
                      <w:rFonts w:ascii="Arial" w:eastAsia="Times New Roman" w:hAnsi="Arial" w:cs="Arial"/>
                      <w:color w:val="000000"/>
                      <w:sz w:val="21"/>
                      <w:szCs w:val="21"/>
                    </w:rPr>
                    <w:t>24/7/365 response from emergency responders in the event of an incident.</w:t>
                  </w:r>
                </w:p>
                <w:p w14:paraId="48918242" w14:textId="77777777" w:rsidR="00B439D9" w:rsidRDefault="00B439D9" w:rsidP="00613570">
                  <w:pPr>
                    <w:numPr>
                      <w:ilvl w:val="0"/>
                      <w:numId w:val="2"/>
                    </w:numPr>
                    <w:ind w:hanging="240"/>
                    <w:rPr>
                      <w:rFonts w:ascii="Times New Roman" w:eastAsia="Times New Roman" w:hAnsi="Times New Roman" w:cs="Times New Roman"/>
                      <w:color w:val="000000"/>
                      <w:sz w:val="21"/>
                      <w:szCs w:val="21"/>
                    </w:rPr>
                  </w:pPr>
                  <w:r>
                    <w:rPr>
                      <w:rFonts w:ascii="Arial" w:eastAsia="Times New Roman" w:hAnsi="Arial" w:cs="Arial"/>
                      <w:color w:val="000000"/>
                      <w:sz w:val="21"/>
                      <w:szCs w:val="21"/>
                    </w:rPr>
                    <w:t>Dedicated limits help protect against catastrophic peril that would otherwise be claimed under a property/liability policy where potentially coverage could be silent.</w:t>
                  </w:r>
                </w:p>
                <w:p w14:paraId="113EEB75" w14:textId="77777777" w:rsidR="00B439D9" w:rsidRDefault="00B439D9" w:rsidP="00613570">
                  <w:pPr>
                    <w:numPr>
                      <w:ilvl w:val="0"/>
                      <w:numId w:val="2"/>
                    </w:numPr>
                    <w:ind w:hanging="240"/>
                    <w:rPr>
                      <w:rFonts w:ascii="Times New Roman" w:eastAsia="Times New Roman" w:hAnsi="Times New Roman" w:cs="Times New Roman"/>
                      <w:color w:val="000000"/>
                      <w:sz w:val="21"/>
                      <w:szCs w:val="21"/>
                    </w:rPr>
                  </w:pPr>
                  <w:r>
                    <w:rPr>
                      <w:rFonts w:ascii="Arial" w:eastAsia="Times New Roman" w:hAnsi="Arial" w:cs="Arial"/>
                      <w:color w:val="000000"/>
                      <w:sz w:val="21"/>
                      <w:szCs w:val="21"/>
                    </w:rPr>
                    <w:t>Addresses Duty of Care to your employees and other people on your premises.</w:t>
                  </w:r>
                </w:p>
                <w:p w14:paraId="35DB93F0" w14:textId="77777777" w:rsidR="00B439D9" w:rsidRDefault="00B439D9">
                  <w:pPr>
                    <w:pStyle w:val="NormalWeb"/>
                    <w:rPr>
                      <w:rFonts w:ascii="Times New Roman" w:hAnsi="Times New Roman" w:cs="Times New Roman"/>
                      <w:color w:val="403F42"/>
                      <w:sz w:val="21"/>
                      <w:szCs w:val="21"/>
                    </w:rPr>
                  </w:pPr>
                </w:p>
                <w:p w14:paraId="43C72D03" w14:textId="77777777" w:rsidR="00B439D9" w:rsidRDefault="00B439D9">
                  <w:pPr>
                    <w:pStyle w:val="NormalWeb"/>
                    <w:rPr>
                      <w:rFonts w:ascii="Times New Roman" w:hAnsi="Times New Roman" w:cs="Times New Roman"/>
                      <w:color w:val="403F42"/>
                      <w:sz w:val="21"/>
                      <w:szCs w:val="21"/>
                    </w:rPr>
                  </w:pPr>
                  <w:r>
                    <w:rPr>
                      <w:rFonts w:ascii="Arial" w:hAnsi="Arial" w:cs="Arial"/>
                      <w:b/>
                      <w:bCs/>
                      <w:color w:val="000000"/>
                      <w:sz w:val="21"/>
                      <w:szCs w:val="21"/>
                    </w:rPr>
                    <w:t>Examples of Insured Events</w:t>
                  </w:r>
                </w:p>
                <w:p w14:paraId="4B16A93A" w14:textId="77777777" w:rsidR="00B439D9" w:rsidRDefault="00B439D9">
                  <w:pPr>
                    <w:pStyle w:val="NormalWeb"/>
                    <w:rPr>
                      <w:rFonts w:ascii="Times New Roman" w:hAnsi="Times New Roman" w:cs="Times New Roman"/>
                      <w:color w:val="403F42"/>
                      <w:sz w:val="21"/>
                      <w:szCs w:val="21"/>
                    </w:rPr>
                  </w:pPr>
                </w:p>
                <w:p w14:paraId="3F66E771" w14:textId="77777777" w:rsidR="00B439D9" w:rsidRDefault="00B439D9">
                  <w:pPr>
                    <w:pStyle w:val="NormalWeb"/>
                    <w:rPr>
                      <w:rFonts w:ascii="Times New Roman" w:hAnsi="Times New Roman" w:cs="Times New Roman"/>
                      <w:color w:val="403F42"/>
                      <w:sz w:val="21"/>
                      <w:szCs w:val="21"/>
                    </w:rPr>
                  </w:pPr>
                  <w:r>
                    <w:rPr>
                      <w:rFonts w:ascii="Arial" w:hAnsi="Arial" w:cs="Arial"/>
                      <w:b/>
                      <w:bCs/>
                      <w:color w:val="DC1111"/>
                      <w:sz w:val="21"/>
                      <w:szCs w:val="21"/>
                    </w:rPr>
                    <w:t>Attack</w:t>
                  </w:r>
                  <w:r>
                    <w:rPr>
                      <w:rFonts w:ascii="Arial" w:hAnsi="Arial" w:cs="Arial"/>
                      <w:color w:val="000000"/>
                      <w:sz w:val="21"/>
                      <w:szCs w:val="21"/>
                    </w:rPr>
                    <w:t xml:space="preserve"> involving the use of a weapon - definition is very broad to capture most scenarios. Attacks do not need to be ideologically motivated or carried out in the name of a cause.</w:t>
                  </w:r>
                </w:p>
                <w:p w14:paraId="69C9BDEE" w14:textId="77777777" w:rsidR="00B439D9" w:rsidRDefault="00B439D9">
                  <w:pPr>
                    <w:pStyle w:val="NormalWeb"/>
                    <w:rPr>
                      <w:rFonts w:ascii="Times New Roman" w:hAnsi="Times New Roman" w:cs="Times New Roman"/>
                      <w:color w:val="403F42"/>
                      <w:sz w:val="21"/>
                      <w:szCs w:val="21"/>
                    </w:rPr>
                  </w:pPr>
                </w:p>
                <w:p w14:paraId="7B88322B" w14:textId="77777777" w:rsidR="00B439D9" w:rsidRDefault="00B439D9">
                  <w:pPr>
                    <w:pStyle w:val="NormalWeb"/>
                    <w:rPr>
                      <w:rFonts w:ascii="Times New Roman" w:hAnsi="Times New Roman" w:cs="Times New Roman"/>
                      <w:color w:val="403F42"/>
                      <w:sz w:val="21"/>
                      <w:szCs w:val="21"/>
                    </w:rPr>
                  </w:pPr>
                  <w:r>
                    <w:rPr>
                      <w:rFonts w:ascii="Arial" w:hAnsi="Arial" w:cs="Arial"/>
                      <w:b/>
                      <w:bCs/>
                      <w:color w:val="DC1111"/>
                      <w:sz w:val="21"/>
                      <w:szCs w:val="21"/>
                    </w:rPr>
                    <w:t>Threat</w:t>
                  </w:r>
                  <w:r>
                    <w:rPr>
                      <w:rFonts w:ascii="Arial" w:hAnsi="Arial" w:cs="Arial"/>
                      <w:b/>
                      <w:bCs/>
                      <w:color w:val="000000"/>
                      <w:sz w:val="21"/>
                      <w:szCs w:val="21"/>
                    </w:rPr>
                    <w:t xml:space="preserve"> </w:t>
                  </w:r>
                  <w:r>
                    <w:rPr>
                      <w:rFonts w:ascii="Arial" w:hAnsi="Arial" w:cs="Arial"/>
                      <w:color w:val="000000"/>
                      <w:sz w:val="21"/>
                      <w:szCs w:val="21"/>
                    </w:rPr>
                    <w:t>- Malicious threats made against insured people or property.</w:t>
                  </w:r>
                </w:p>
                <w:p w14:paraId="32F98C3D" w14:textId="77777777" w:rsidR="00B439D9" w:rsidRDefault="00B439D9">
                  <w:pPr>
                    <w:pStyle w:val="NormalWeb"/>
                    <w:rPr>
                      <w:rFonts w:ascii="Times New Roman" w:hAnsi="Times New Roman" w:cs="Times New Roman"/>
                      <w:color w:val="403F42"/>
                      <w:sz w:val="21"/>
                      <w:szCs w:val="21"/>
                    </w:rPr>
                  </w:pPr>
                </w:p>
                <w:p w14:paraId="2A85DA4D" w14:textId="77777777" w:rsidR="00B439D9" w:rsidRDefault="00B439D9">
                  <w:pPr>
                    <w:pStyle w:val="NormalWeb"/>
                    <w:rPr>
                      <w:rFonts w:ascii="Times New Roman" w:hAnsi="Times New Roman" w:cs="Times New Roman"/>
                      <w:color w:val="403F42"/>
                      <w:sz w:val="21"/>
                      <w:szCs w:val="21"/>
                    </w:rPr>
                  </w:pPr>
                  <w:r>
                    <w:rPr>
                      <w:rFonts w:ascii="Arial" w:hAnsi="Arial" w:cs="Arial"/>
                      <w:b/>
                      <w:bCs/>
                      <w:color w:val="DC1111"/>
                      <w:sz w:val="21"/>
                      <w:szCs w:val="21"/>
                    </w:rPr>
                    <w:t>Stalking</w:t>
                  </w:r>
                  <w:r>
                    <w:rPr>
                      <w:rFonts w:ascii="Arial" w:hAnsi="Arial" w:cs="Arial"/>
                      <w:color w:val="000000"/>
                      <w:sz w:val="21"/>
                      <w:szCs w:val="21"/>
                    </w:rPr>
                    <w:t xml:space="preserve"> - Unwanted obsessive attention that puts an insured person in fear of or concern for their safety at their place of work.</w:t>
                  </w:r>
                </w:p>
                <w:p w14:paraId="6C148327" w14:textId="77777777" w:rsidR="00B439D9" w:rsidRDefault="00B439D9">
                  <w:pPr>
                    <w:pStyle w:val="NormalWeb"/>
                    <w:rPr>
                      <w:rFonts w:ascii="Times New Roman" w:hAnsi="Times New Roman" w:cs="Times New Roman"/>
                      <w:color w:val="403F42"/>
                      <w:sz w:val="21"/>
                      <w:szCs w:val="21"/>
                    </w:rPr>
                  </w:pPr>
                </w:p>
                <w:p w14:paraId="69F85E6F" w14:textId="77777777" w:rsidR="00B439D9" w:rsidRDefault="00B439D9">
                  <w:pPr>
                    <w:pStyle w:val="NormalWeb"/>
                    <w:rPr>
                      <w:rFonts w:ascii="Times New Roman" w:hAnsi="Times New Roman" w:cs="Times New Roman"/>
                      <w:color w:val="403F42"/>
                      <w:sz w:val="21"/>
                      <w:szCs w:val="21"/>
                    </w:rPr>
                  </w:pPr>
                  <w:r>
                    <w:rPr>
                      <w:rFonts w:ascii="Arial" w:hAnsi="Arial" w:cs="Arial"/>
                      <w:b/>
                      <w:bCs/>
                      <w:color w:val="000000"/>
                      <w:sz w:val="21"/>
                      <w:szCs w:val="21"/>
                    </w:rPr>
                    <w:t xml:space="preserve">For submissions please complete the </w:t>
                  </w:r>
                  <w:hyperlink r:id="rId6" w:tgtFrame="_blank" w:history="1">
                    <w:r>
                      <w:rPr>
                        <w:rStyle w:val="Hyperlink"/>
                        <w:rFonts w:ascii="Arial" w:hAnsi="Arial" w:cs="Arial"/>
                        <w:b/>
                        <w:bCs/>
                        <w:sz w:val="21"/>
                        <w:szCs w:val="21"/>
                      </w:rPr>
                      <w:t xml:space="preserve">Active Assailant Liability Application </w:t>
                    </w:r>
                  </w:hyperlink>
                  <w:r>
                    <w:rPr>
                      <w:rFonts w:ascii="Arial" w:hAnsi="Arial" w:cs="Arial"/>
                      <w:b/>
                      <w:bCs/>
                      <w:color w:val="403F42"/>
                      <w:sz w:val="21"/>
                      <w:szCs w:val="21"/>
                    </w:rPr>
                    <w:t xml:space="preserve">and forward to </w:t>
                  </w:r>
                  <w:hyperlink r:id="rId7" w:tgtFrame="_blank" w:history="1">
                    <w:r>
                      <w:rPr>
                        <w:rStyle w:val="Hyperlink"/>
                        <w:rFonts w:ascii="Arial" w:hAnsi="Arial" w:cs="Arial"/>
                        <w:b/>
                        <w:bCs/>
                        <w:sz w:val="21"/>
                        <w:szCs w:val="21"/>
                      </w:rPr>
                      <w:t>info@firstchoiceii.com</w:t>
                    </w:r>
                  </w:hyperlink>
                </w:p>
                <w:p w14:paraId="784BBE7C" w14:textId="77777777" w:rsidR="00B439D9" w:rsidRDefault="00B439D9">
                  <w:pPr>
                    <w:pStyle w:val="NormalWeb"/>
                    <w:rPr>
                      <w:rFonts w:ascii="Times New Roman" w:hAnsi="Times New Roman" w:cs="Times New Roman"/>
                      <w:color w:val="403F42"/>
                      <w:sz w:val="21"/>
                      <w:szCs w:val="21"/>
                    </w:rPr>
                  </w:pPr>
                </w:p>
                <w:p w14:paraId="0CD7860C" w14:textId="77777777" w:rsidR="00B439D9" w:rsidRDefault="00B439D9">
                  <w:pPr>
                    <w:pStyle w:val="NormalWeb"/>
                    <w:rPr>
                      <w:rFonts w:ascii="Times New Roman" w:hAnsi="Times New Roman" w:cs="Times New Roman"/>
                      <w:color w:val="403F42"/>
                      <w:sz w:val="21"/>
                      <w:szCs w:val="21"/>
                    </w:rPr>
                  </w:pPr>
                  <w:r>
                    <w:rPr>
                      <w:rFonts w:ascii="Arial" w:hAnsi="Arial" w:cs="Arial"/>
                      <w:b/>
                      <w:bCs/>
                      <w:color w:val="000000"/>
                      <w:sz w:val="21"/>
                      <w:szCs w:val="21"/>
                    </w:rPr>
                    <w:t xml:space="preserve">For appointment send </w:t>
                  </w:r>
                  <w:hyperlink r:id="rId8" w:tgtFrame="_blank" w:history="1">
                    <w:r>
                      <w:rPr>
                        <w:rStyle w:val="Hyperlink"/>
                        <w:rFonts w:ascii="Arial" w:hAnsi="Arial" w:cs="Arial"/>
                        <w:b/>
                        <w:bCs/>
                        <w:sz w:val="21"/>
                        <w:szCs w:val="21"/>
                      </w:rPr>
                      <w:t>Producer Agreement</w:t>
                    </w:r>
                  </w:hyperlink>
                  <w:hyperlink r:id="rId9" w:tgtFrame="_blank" w:history="1">
                    <w:r>
                      <w:rPr>
                        <w:rStyle w:val="Hyperlink"/>
                        <w:rFonts w:ascii="Arial" w:hAnsi="Arial" w:cs="Arial"/>
                        <w:b/>
                        <w:bCs/>
                        <w:color w:val="000000"/>
                        <w:sz w:val="21"/>
                        <w:szCs w:val="21"/>
                      </w:rPr>
                      <w:t xml:space="preserve"> </w:t>
                    </w:r>
                  </w:hyperlink>
                  <w:r>
                    <w:rPr>
                      <w:rFonts w:ascii="Arial" w:hAnsi="Arial" w:cs="Arial"/>
                      <w:b/>
                      <w:bCs/>
                      <w:color w:val="000000"/>
                      <w:sz w:val="21"/>
                      <w:szCs w:val="21"/>
                    </w:rPr>
                    <w:t>with copy of your W-9, state license and E&amp;O to</w:t>
                  </w:r>
                  <w:r>
                    <w:rPr>
                      <w:rFonts w:ascii="Arial" w:hAnsi="Arial" w:cs="Arial"/>
                      <w:b/>
                      <w:bCs/>
                      <w:color w:val="3598DB"/>
                      <w:sz w:val="21"/>
                      <w:szCs w:val="21"/>
                    </w:rPr>
                    <w:t> </w:t>
                  </w:r>
                  <w:hyperlink r:id="rId10" w:tgtFrame="_blank" w:history="1">
                    <w:r>
                      <w:rPr>
                        <w:rStyle w:val="Hyperlink"/>
                        <w:rFonts w:ascii="Arial" w:hAnsi="Arial" w:cs="Arial"/>
                        <w:b/>
                        <w:bCs/>
                        <w:sz w:val="21"/>
                        <w:szCs w:val="21"/>
                      </w:rPr>
                      <w:t>info@firstchoiceii.com</w:t>
                    </w:r>
                  </w:hyperlink>
                  <w:r>
                    <w:rPr>
                      <w:rFonts w:ascii="Arial" w:hAnsi="Arial" w:cs="Arial"/>
                      <w:b/>
                      <w:bCs/>
                      <w:color w:val="000000"/>
                      <w:sz w:val="21"/>
                      <w:szCs w:val="21"/>
                    </w:rPr>
                    <w:t>.</w:t>
                  </w:r>
                </w:p>
                <w:p w14:paraId="433E3C85" w14:textId="77777777" w:rsidR="00B439D9" w:rsidRDefault="00B439D9">
                  <w:pPr>
                    <w:pStyle w:val="NormalWeb"/>
                    <w:rPr>
                      <w:rFonts w:ascii="Times New Roman" w:hAnsi="Times New Roman" w:cs="Times New Roman"/>
                      <w:color w:val="403F42"/>
                      <w:sz w:val="21"/>
                      <w:szCs w:val="21"/>
                    </w:rPr>
                  </w:pPr>
                </w:p>
                <w:p w14:paraId="58109A77" w14:textId="1264AAAA" w:rsidR="00B439D9" w:rsidRDefault="00B439D9">
                  <w:pPr>
                    <w:pStyle w:val="NormalWeb"/>
                    <w:rPr>
                      <w:rFonts w:ascii="Times New Roman" w:hAnsi="Times New Roman" w:cs="Times New Roman"/>
                      <w:color w:val="403F42"/>
                      <w:sz w:val="21"/>
                      <w:szCs w:val="21"/>
                    </w:rPr>
                  </w:pPr>
                </w:p>
              </w:tc>
            </w:tr>
          </w:tbl>
          <w:p w14:paraId="536DB8BB" w14:textId="77777777" w:rsidR="00B439D9" w:rsidRDefault="00B439D9">
            <w:pPr>
              <w:jc w:val="center"/>
              <w:rPr>
                <w:rFonts w:ascii="Times New Roman" w:eastAsia="Times New Roman" w:hAnsi="Times New Roman" w:cs="Times New Roman"/>
                <w:sz w:val="20"/>
                <w:szCs w:val="20"/>
              </w:rPr>
            </w:pPr>
          </w:p>
        </w:tc>
      </w:tr>
    </w:tbl>
    <w:p w14:paraId="5634806B" w14:textId="77777777" w:rsidR="00B439D9" w:rsidRDefault="00B439D9" w:rsidP="00B439D9">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39D9" w14:paraId="220CAB45" w14:textId="77777777" w:rsidTr="00B439D9">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439D9" w14:paraId="2B065ED1" w14:textId="77777777">
              <w:trPr>
                <w:tblCellSpacing w:w="0" w:type="dxa"/>
                <w:jc w:val="center"/>
              </w:trPr>
              <w:tc>
                <w:tcPr>
                  <w:tcW w:w="5000" w:type="pct"/>
                  <w:tcMar>
                    <w:top w:w="135" w:type="dxa"/>
                    <w:left w:w="0" w:type="dxa"/>
                    <w:bottom w:w="135" w:type="dxa"/>
                    <w:right w:w="0" w:type="dxa"/>
                  </w:tcMar>
                  <w:hideMark/>
                </w:tcPr>
                <w:tbl>
                  <w:tblPr>
                    <w:tblW w:w="4650" w:type="pct"/>
                    <w:jc w:val="center"/>
                    <w:tblCellSpacing w:w="0" w:type="dxa"/>
                    <w:tblCellMar>
                      <w:left w:w="0" w:type="dxa"/>
                      <w:right w:w="0" w:type="dxa"/>
                    </w:tblCellMar>
                    <w:tblLook w:val="04A0" w:firstRow="1" w:lastRow="0" w:firstColumn="1" w:lastColumn="0" w:noHBand="0" w:noVBand="1"/>
                  </w:tblPr>
                  <w:tblGrid>
                    <w:gridCol w:w="10044"/>
                  </w:tblGrid>
                  <w:tr w:rsidR="00B439D9" w14:paraId="2F581863" w14:textId="77777777">
                    <w:trPr>
                      <w:trHeight w:val="15"/>
                      <w:tblCellSpacing w:w="0" w:type="dxa"/>
                      <w:jc w:val="center"/>
                    </w:trPr>
                    <w:tc>
                      <w:tcPr>
                        <w:tcW w:w="0" w:type="auto"/>
                        <w:shd w:val="clear" w:color="auto" w:fill="869198"/>
                        <w:vAlign w:val="center"/>
                        <w:hideMark/>
                      </w:tcPr>
                      <w:p w14:paraId="372F5EE4" w14:textId="469CCDC6" w:rsidR="00B439D9" w:rsidRDefault="00B439D9">
                        <w:pPr>
                          <w:spacing w:line="15" w:lineRule="atLeast"/>
                          <w:jc w:val="center"/>
                          <w:rPr>
                            <w:rFonts w:eastAsia="Times New Roman"/>
                          </w:rPr>
                        </w:pPr>
                        <w:r>
                          <w:rPr>
                            <w:rFonts w:eastAsia="Times New Roman"/>
                            <w:noProof/>
                          </w:rPr>
                          <w:drawing>
                            <wp:inline distT="0" distB="0" distL="0" distR="0" wp14:anchorId="199D73D7" wp14:editId="1FD1970F">
                              <wp:extent cx="47625" cy="9525"/>
                              <wp:effectExtent l="0" t="0" r="0" b="0"/>
                              <wp:docPr id="478823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61AC5359" w14:textId="77777777" w:rsidR="00B439D9" w:rsidRDefault="00B439D9">
                  <w:pPr>
                    <w:jc w:val="center"/>
                    <w:rPr>
                      <w:rFonts w:ascii="Times New Roman" w:eastAsia="Times New Roman" w:hAnsi="Times New Roman" w:cs="Times New Roman"/>
                      <w:sz w:val="20"/>
                      <w:szCs w:val="20"/>
                    </w:rPr>
                  </w:pPr>
                </w:p>
              </w:tc>
            </w:tr>
          </w:tbl>
          <w:p w14:paraId="2E703777" w14:textId="77777777" w:rsidR="00B439D9" w:rsidRDefault="00B439D9">
            <w:pPr>
              <w:jc w:val="center"/>
              <w:rPr>
                <w:rFonts w:ascii="Times New Roman" w:eastAsia="Times New Roman" w:hAnsi="Times New Roman" w:cs="Times New Roman"/>
                <w:sz w:val="20"/>
                <w:szCs w:val="20"/>
              </w:rPr>
            </w:pPr>
          </w:p>
        </w:tc>
      </w:tr>
    </w:tbl>
    <w:p w14:paraId="2D1BE1B2" w14:textId="77777777" w:rsidR="00F66F9E" w:rsidRDefault="00F66F9E"/>
    <w:sectPr w:rsidR="00F66F9E" w:rsidSect="00B439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25A9"/>
    <w:multiLevelType w:val="multilevel"/>
    <w:tmpl w:val="F7844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A33681"/>
    <w:multiLevelType w:val="multilevel"/>
    <w:tmpl w:val="43F0A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82796896">
    <w:abstractNumId w:val="0"/>
    <w:lvlOverride w:ilvl="0"/>
    <w:lvlOverride w:ilvl="1"/>
    <w:lvlOverride w:ilvl="2"/>
    <w:lvlOverride w:ilvl="3"/>
    <w:lvlOverride w:ilvl="4"/>
    <w:lvlOverride w:ilvl="5"/>
    <w:lvlOverride w:ilvl="6"/>
    <w:lvlOverride w:ilvl="7"/>
    <w:lvlOverride w:ilvl="8"/>
  </w:num>
  <w:num w:numId="2" w16cid:durableId="76303705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9D9"/>
    <w:rsid w:val="00627208"/>
    <w:rsid w:val="00AB53FE"/>
    <w:rsid w:val="00B439D9"/>
    <w:rsid w:val="00E625C7"/>
    <w:rsid w:val="00F66F9E"/>
    <w:rsid w:val="00FD5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366DA"/>
  <w15:chartTrackingRefBased/>
  <w15:docId w15:val="{AFFD24E4-2AF3-4102-A6A6-CE7697CC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9D9"/>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B439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39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9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9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9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9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9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9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9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9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39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9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9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9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9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9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9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9D9"/>
    <w:rPr>
      <w:rFonts w:eastAsiaTheme="majorEastAsia" w:cstheme="majorBidi"/>
      <w:color w:val="272727" w:themeColor="text1" w:themeTint="D8"/>
    </w:rPr>
  </w:style>
  <w:style w:type="paragraph" w:styleId="Title">
    <w:name w:val="Title"/>
    <w:basedOn w:val="Normal"/>
    <w:next w:val="Normal"/>
    <w:link w:val="TitleChar"/>
    <w:uiPriority w:val="10"/>
    <w:qFormat/>
    <w:rsid w:val="00B439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9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9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9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9D9"/>
    <w:pPr>
      <w:spacing w:before="160"/>
      <w:jc w:val="center"/>
    </w:pPr>
    <w:rPr>
      <w:i/>
      <w:iCs/>
      <w:color w:val="404040" w:themeColor="text1" w:themeTint="BF"/>
    </w:rPr>
  </w:style>
  <w:style w:type="character" w:customStyle="1" w:styleId="QuoteChar">
    <w:name w:val="Quote Char"/>
    <w:basedOn w:val="DefaultParagraphFont"/>
    <w:link w:val="Quote"/>
    <w:uiPriority w:val="29"/>
    <w:rsid w:val="00B439D9"/>
    <w:rPr>
      <w:i/>
      <w:iCs/>
      <w:color w:val="404040" w:themeColor="text1" w:themeTint="BF"/>
    </w:rPr>
  </w:style>
  <w:style w:type="paragraph" w:styleId="ListParagraph">
    <w:name w:val="List Paragraph"/>
    <w:basedOn w:val="Normal"/>
    <w:uiPriority w:val="34"/>
    <w:qFormat/>
    <w:rsid w:val="00B439D9"/>
    <w:pPr>
      <w:ind w:left="720"/>
      <w:contextualSpacing/>
    </w:pPr>
  </w:style>
  <w:style w:type="character" w:styleId="IntenseEmphasis">
    <w:name w:val="Intense Emphasis"/>
    <w:basedOn w:val="DefaultParagraphFont"/>
    <w:uiPriority w:val="21"/>
    <w:qFormat/>
    <w:rsid w:val="00B439D9"/>
    <w:rPr>
      <w:i/>
      <w:iCs/>
      <w:color w:val="0F4761" w:themeColor="accent1" w:themeShade="BF"/>
    </w:rPr>
  </w:style>
  <w:style w:type="paragraph" w:styleId="IntenseQuote">
    <w:name w:val="Intense Quote"/>
    <w:basedOn w:val="Normal"/>
    <w:next w:val="Normal"/>
    <w:link w:val="IntenseQuoteChar"/>
    <w:uiPriority w:val="30"/>
    <w:qFormat/>
    <w:rsid w:val="00B439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9D9"/>
    <w:rPr>
      <w:i/>
      <w:iCs/>
      <w:color w:val="0F4761" w:themeColor="accent1" w:themeShade="BF"/>
    </w:rPr>
  </w:style>
  <w:style w:type="character" w:styleId="IntenseReference">
    <w:name w:val="Intense Reference"/>
    <w:basedOn w:val="DefaultParagraphFont"/>
    <w:uiPriority w:val="32"/>
    <w:qFormat/>
    <w:rsid w:val="00B439D9"/>
    <w:rPr>
      <w:b/>
      <w:bCs/>
      <w:smallCaps/>
      <w:color w:val="0F4761" w:themeColor="accent1" w:themeShade="BF"/>
      <w:spacing w:val="5"/>
    </w:rPr>
  </w:style>
  <w:style w:type="character" w:styleId="Hyperlink">
    <w:name w:val="Hyperlink"/>
    <w:basedOn w:val="DefaultParagraphFont"/>
    <w:uiPriority w:val="99"/>
    <w:semiHidden/>
    <w:unhideWhenUsed/>
    <w:rsid w:val="00B439D9"/>
    <w:rPr>
      <w:color w:val="0000FF"/>
      <w:u w:val="single"/>
    </w:rPr>
  </w:style>
  <w:style w:type="paragraph" w:styleId="NormalWeb">
    <w:name w:val="Normal (Web)"/>
    <w:basedOn w:val="Normal"/>
    <w:uiPriority w:val="99"/>
    <w:semiHidden/>
    <w:unhideWhenUsed/>
    <w:rsid w:val="00B43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96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20.rs6.net/tn.jsp?f=001NJ7eu8yO81-NduRiGpLXZtzkrC7j2gxMLVPuSAZGH5VXb4oD1BB39o5j_o8UnlJT10FXvtc-YyuzvPZjvKTgN68p4aHQNa_aVjIzPBMy-8qrL3vMgCSJcPyIP2wcoqPkEw4A2K_i4VmlIkyKAO4-JFrbHm5Y3iD_6W5etP2cdUiurNBDKLs8Y46KwqDhuzIZHXJBy2u4_RqfAaa02L2YdjOoJNH_JTGz2mt1YCxjPdY=&amp;c=hYeROywd-o7dvQTmGbkVhLDVvsi59g-Xl4qvaFnDPKVzgM3SSYSbuw==&amp;ch=bkaXmSaVRRDjv5hBO4MnbfMnvupj1CPsBTiJTLDtxWRJ0VQXG1eeK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firstchoiceii.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les.constantcontact.com/dac8b03f001/b9f657d7-659b-4dc4-971e-f17ce80e9b0e.pdf" TargetMode="External"/><Relationship Id="rId11"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hyperlink" Target="mailto:info@firstchoiceii.com" TargetMode="External"/><Relationship Id="rId4" Type="http://schemas.openxmlformats.org/officeDocument/2006/relationships/webSettings" Target="webSettings.xml"/><Relationship Id="rId9" Type="http://schemas.openxmlformats.org/officeDocument/2006/relationships/hyperlink" Target="https://r20.rs6.net/tn.jsp?f=001NJ7eu8yO81-NduRiGpLXZtzkrC7j2gxMLVPuSAZGH5VXb4oD1BB39o5j_o8UnlJT10FXvtc-YyuzvPZjvKTgN68p4aHQNa_aVjIzPBMy-8qrL3vMgCSJcPyIP2wcoqPkEw4A2K_i4VmlIkyKAO4-JFrbHm5Y3iD_6W5etP2cdUiurNBDKLs8Y46KwqDhuzIZHXJBy2u4_RqfAaa02L2YdjOoJNH_JTGz2mt1YCxjPdY=&amp;c=hYeROywd-o7dvQTmGbkVhLDVvsi59g-Xl4qvaFnDPKVzgM3SSYSbuw==&amp;ch=bkaXmSaVRRDjv5hBO4MnbfMnvupj1CPsBTiJTLDtxWRJ0VQXG1ee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Stuhlman</dc:creator>
  <cp:keywords/>
  <dc:description/>
  <cp:lastModifiedBy>Suzanne Stuhlman</cp:lastModifiedBy>
  <cp:revision>2</cp:revision>
  <dcterms:created xsi:type="dcterms:W3CDTF">2025-08-25T17:08:00Z</dcterms:created>
  <dcterms:modified xsi:type="dcterms:W3CDTF">2025-08-25T17:08:00Z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ed8af3-3b21-4e8b-9d4a-24baa7fca757_Enabled">
    <vt:lpwstr>true</vt:lpwstr>
  </property>
  <property fmtid="{D5CDD505-2E9C-101B-9397-08002B2CF9AE}" pid="3" name="MSIP_Label_4bed8af3-3b21-4e8b-9d4a-24baa7fca757_SetDate">
    <vt:lpwstr>2025-08-25T17:07:51Z</vt:lpwstr>
  </property>
  <property fmtid="{D5CDD505-2E9C-101B-9397-08002B2CF9AE}" pid="4" name="MSIP_Label_4bed8af3-3b21-4e8b-9d4a-24baa7fca757_Method">
    <vt:lpwstr>Standard</vt:lpwstr>
  </property>
  <property fmtid="{D5CDD505-2E9C-101B-9397-08002B2CF9AE}" pid="5" name="MSIP_Label_4bed8af3-3b21-4e8b-9d4a-24baa7fca757_Name">
    <vt:lpwstr>KTG.24V2.DLP.3 - General [9261]</vt:lpwstr>
  </property>
  <property fmtid="{D5CDD505-2E9C-101B-9397-08002B2CF9AE}" pid="6" name="MSIP_Label_4bed8af3-3b21-4e8b-9d4a-24baa7fca757_SiteId">
    <vt:lpwstr>07585f87-f81e-4f1b-9472-de66584bd706</vt:lpwstr>
  </property>
  <property fmtid="{D5CDD505-2E9C-101B-9397-08002B2CF9AE}" pid="7" name="MSIP_Label_4bed8af3-3b21-4e8b-9d4a-24baa7fca757_ActionId">
    <vt:lpwstr>2442494f-b8e5-4847-adba-786316570f9a</vt:lpwstr>
  </property>
  <property fmtid="{D5CDD505-2E9C-101B-9397-08002B2CF9AE}" pid="8" name="MSIP_Label_4bed8af3-3b21-4e8b-9d4a-24baa7fca757_ContentBits">
    <vt:lpwstr>0</vt:lpwstr>
  </property>
  <property fmtid="{D5CDD505-2E9C-101B-9397-08002B2CF9AE}" pid="9" name="MSIP_Label_4bed8af3-3b21-4e8b-9d4a-24baa7fca757_Tag">
    <vt:lpwstr>10, 3, 0, 1</vt:lpwstr>
  </property>
</Properties>
</file>